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sz w:val="28"/>
          <w:szCs w:val="28"/>
          <w:highlight w:val="none"/>
        </w:rPr>
      </w:pPr>
      <w:r>
        <w:rPr>
          <w:color w:val="000000"/>
          <w:spacing w:val="2"/>
          <w:sz w:val="28"/>
          <w:szCs w:val="28"/>
          <w:highlight w:val="none"/>
        </w:rPr>
      </w:r>
      <w:r>
        <w:rPr>
          <w:color w:val="000000"/>
          <w:spacing w:val="2"/>
          <w:sz w:val="28"/>
          <w:szCs w:val="28"/>
          <w:highlight w:val="none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sz w:val="28"/>
          <w:szCs w:val="28"/>
          <w:highlight w:val="none"/>
        </w:rPr>
      </w:pPr>
      <w:r>
        <w:rPr>
          <w:color w:val="000000"/>
          <w:spacing w:val="2"/>
          <w:sz w:val="28"/>
          <w:szCs w:val="28"/>
          <w:highlight w:val="none"/>
        </w:rPr>
      </w:r>
      <w:r>
        <w:rPr>
          <w:color w:val="000000"/>
          <w:spacing w:val="2"/>
          <w:sz w:val="28"/>
          <w:szCs w:val="28"/>
          <w:highlight w:val="none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sz w:val="28"/>
          <w:szCs w:val="28"/>
          <w:highlight w:val="none"/>
        </w:rPr>
      </w:pPr>
      <w:r>
        <w:rPr>
          <w:color w:val="000000"/>
          <w:spacing w:val="2"/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highlight w:val="none"/>
        </w:rPr>
      </w:pPr>
      <w:r>
        <w:rPr>
          <w:color w:val="000000"/>
          <w:spacing w:val="2"/>
          <w:shd w:val="clear" w:color="auto" w:fill="ffffff"/>
        </w:rPr>
        <w:t xml:space="preserve">О внесении изменений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в государственную программу Еврейской автономной области «Профилактика и ликвидация особо опасных болезней животных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на территории Еврейской ав</w:t>
      </w:r>
      <w:r>
        <w:rPr>
          <w:color w:val="000000"/>
          <w:spacing w:val="2"/>
          <w:shd w:val="clear" w:color="auto" w:fill="ffffff"/>
        </w:rPr>
        <w:t xml:space="preserve">тономной области» на 2023 –                   2028</w:t>
      </w:r>
      <w:r>
        <w:rPr>
          <w:color w:val="000000"/>
          <w:spacing w:val="2"/>
          <w:shd w:val="clear" w:color="auto" w:fill="ffffff"/>
        </w:rPr>
        <w:t xml:space="preserve"> годы, утвержденную постановлением правительства Еврейской автономной области </w:t>
      </w:r>
      <w:r>
        <w:rPr>
          <w:color w:val="000000"/>
          <w:spacing w:val="2"/>
          <w:shd w:val="clear" w:color="auto" w:fill="ffffff"/>
        </w:rPr>
        <w:t xml:space="preserve">от 27.01.2023 № 32-пп</w:t>
      </w:r>
      <w:r>
        <w:rPr>
          <w:color w:val="000000"/>
          <w:spacing w:val="2"/>
          <w:shd w:val="clear" w:color="auto" w:fill="ffffff"/>
        </w:rPr>
      </w:r>
      <w:r/>
    </w:p>
    <w:p>
      <w:pPr>
        <w:pStyle w:val="950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50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0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</w:t>
      </w:r>
      <w:r/>
    </w:p>
    <w:p>
      <w:pPr>
        <w:pStyle w:val="95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Внести в государственную программу Еврейской автономной области «Профилактика и ликвидация особо опасных болезней животных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    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на территории Еврейской автономной области»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2023 –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202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8 годы, утвержденную </w:t>
      </w:r>
      <w:hyperlink r:id="rId17" w:tooltip="http://docs.cntd.ru/document/430647024" w:history="1">
        <w:r>
          <w:rPr>
            <w:rStyle w:val="951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правительства Еврейской автономной области от 27.01.2023 № 32-пп «Об утверждении государственной программы Еврейской автономной области «Профилактика и ликвидация особо опасных болезней животных на территории Еврейской автономной области»</w:t>
        </w:r>
      </w:hyperlink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2023 – 2028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годы», следующие изменения: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1.1. Строку «</w:t>
      </w:r>
      <w:r>
        <w:rPr>
          <w:color w:val="000000"/>
          <w:sz w:val="28"/>
          <w:szCs w:val="28"/>
        </w:rPr>
        <w:t xml:space="preserve">Участники государственной программы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раздела 1 </w:t>
      </w:r>
      <w:r>
        <w:rPr>
          <w:color w:val="000000"/>
          <w:sz w:val="28"/>
          <w:szCs w:val="28"/>
        </w:rPr>
        <w:t xml:space="preserve">«Паспорт государственной программы</w:t>
      </w:r>
      <w:r>
        <w:rPr>
          <w:color w:val="000000"/>
          <w:sz w:val="28"/>
          <w:szCs w:val="28"/>
        </w:rPr>
        <w:t xml:space="preserve"> Еврейской автономной области</w:t>
      </w:r>
      <w:r>
        <w:rPr>
          <w:color w:val="000000"/>
          <w:sz w:val="28"/>
          <w:szCs w:val="28"/>
        </w:rPr>
        <w:t xml:space="preserve"> «Профилактика и ликвидация особо опасных болезней животных на территории Еврейской ав</w:t>
      </w:r>
      <w:r>
        <w:rPr>
          <w:color w:val="000000"/>
          <w:sz w:val="28"/>
          <w:szCs w:val="28"/>
        </w:rPr>
        <w:t xml:space="preserve">тономной области» </w:t>
      </w:r>
      <w:r>
        <w:rPr>
          <w:color w:val="000000"/>
          <w:sz w:val="28"/>
          <w:szCs w:val="28"/>
        </w:rPr>
        <w:t xml:space="preserve">на 2023 – 2028</w:t>
      </w:r>
      <w:r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изложить в следующей редакции:</w:t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tbl>
      <w:tblPr>
        <w:tblStyle w:val="961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7053"/>
      </w:tblGrid>
      <w:tr>
        <w:trPr/>
        <w:tc>
          <w:tcPr>
            <w:tcW w:w="2517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Участники государственной программы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департамент сельского хозяйства правительства Еврейской автономной области (далее – департамент сельского хозяйства), департамент промышленности и сельского хозяйства правительства Еврейской автономной области (далее – департамент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промышленности и сельского хозяйства)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ветеринарно-диагностическое бюджетное учреждение «Областная ветеринарная лаборатория» (далее - ОГВДБУ «Облветлаборатория»);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Биробиджанского района» (далее - ОГБУ «Биробиджанская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Ленинского района»(далее - ОГБУ «Ленинская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Смидовичского района» (далее - ОГБУ «Смидовичская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Октябрьского района» (далее - ОГБУ «Октябрьская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Облученского района» (далее - ОГБУ «Облученская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г. Биробиджана» (далее - ОГБУ «Биробиджанская горветстанция»);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«Биробиджанский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«Ленинский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«Октябрьский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«Смидовичский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«Облученский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«Город Биробиджан» Еврейской автономной области (по согласованию)».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1.2. Подпункт 4.1 пункта 4 таблицы № 2 «Мероприятия государственной программы» раздела 7 «Система программных мероприятий» изложить в следующей редакции:</w:t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  <w:sectPr>
          <w:headerReference w:type="default" r:id="rId9"/>
          <w:headerReference w:type="first" r:id="rId10"/>
          <w:footerReference w:type="default" r:id="rId14"/>
          <w:footerReference w:type="first" r:id="rId15"/>
          <w:footnotePr/>
          <w:endnotePr/>
          <w:type w:val="continuous"/>
          <w:pgSz w:w="11905" w:h="16838" w:orient="portrait"/>
          <w:pgMar w:top="1134" w:right="850" w:bottom="1134" w:left="1701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/>
          <w:spacing w:val="2"/>
          <w:sz w:val="28"/>
          <w:szCs w:val="28"/>
        </w:rPr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4"/>
        <w:gridCol w:w="2381"/>
        <w:gridCol w:w="3151"/>
        <w:gridCol w:w="1276"/>
        <w:gridCol w:w="2816"/>
        <w:gridCol w:w="2145"/>
        <w:gridCol w:w="1843"/>
      </w:tblGrid>
      <w:tr>
        <w:trPr>
          <w:jc w:val="center"/>
        </w:trPr>
        <w:tc>
          <w:tcPr>
            <w:tcW w:w="48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0"/>
                <w:szCs w:val="20"/>
              </w:rPr>
              <w:t xml:space="preserve">«4.1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151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сельского хозяйства,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департамент промышленности и сельского хозяйства</w:t>
            </w:r>
            <w:r>
              <w:rPr>
                <w:sz w:val="20"/>
                <w:szCs w:val="20"/>
              </w:rPr>
              <w:t xml:space="preserve">, муниципальное образование «Биробиджанский муниципальный район» Еврейской автономной области (по согласованию), муниципальное образование «Ленинский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«Октябрьский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«Смидовичский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«Облученский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муниципальное образование «Город Биробиджан» Еврейской автономной области (по согласованию)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2028</w:t>
            </w:r>
            <w:r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816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мероприятий при осуществлении деятельности по обращению с животными без владельцев: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- около 469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 год - около 600 голов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145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Опасность возникновения ряда заболеваний заразной этиологии, в том числе общих для человека и животных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Обеспечение эпизоотического 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и ветеринарно-санитарного благополучия              на территории Еврейской автономной области».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sectPr>
          <w:headerReference w:type="default" r:id="rId11"/>
          <w:headerReference w:type="first" r:id="rId12"/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9" w:equalWidth="1"/>
          <w:docGrid w:linePitch="360"/>
        </w:sectPr>
      </w:pPr>
      <w:r>
        <w:rPr>
          <w:sz w:val="28"/>
          <w:szCs w:val="28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</w:t>
      </w:r>
      <w:r>
        <w:rPr>
          <w:color w:val="000000"/>
          <w:spacing w:val="2"/>
          <w:sz w:val="28"/>
          <w:szCs w:val="28"/>
        </w:rPr>
        <w:t xml:space="preserve">3.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 разделе 10 «</w:t>
      </w:r>
      <w:r>
        <w:rPr>
          <w:color w:val="000000"/>
          <w:spacing w:val="2"/>
          <w:sz w:val="28"/>
          <w:szCs w:val="28"/>
        </w:rPr>
        <w:t xml:space="preserve">Ресурсное обеспечение реализации государственной программы</w:t>
      </w:r>
      <w:r>
        <w:rPr>
          <w:color w:val="000000"/>
          <w:spacing w:val="2"/>
          <w:sz w:val="28"/>
          <w:szCs w:val="28"/>
        </w:rPr>
        <w:t xml:space="preserve">»:</w:t>
      </w:r>
      <w:r/>
    </w:p>
    <w:p>
      <w:pPr>
        <w:ind w:firstLine="709"/>
        <w:jc w:val="both"/>
        <w:outlineLvl w:val="1"/>
      </w:pPr>
      <w:r>
        <w:rPr>
          <w:color w:val="000000"/>
          <w:spacing w:val="2"/>
          <w:sz w:val="28"/>
          <w:szCs w:val="28"/>
        </w:rPr>
        <w:t xml:space="preserve">- в таблице № 4 «</w:t>
      </w:r>
      <w:r>
        <w:rPr>
          <w:color w:val="000000"/>
          <w:spacing w:val="2"/>
          <w:sz w:val="28"/>
          <w:szCs w:val="28"/>
        </w:rPr>
        <w:t xml:space="preserve">Р</w:t>
      </w:r>
      <w:r>
        <w:rPr>
          <w:color w:val="000000"/>
          <w:spacing w:val="2"/>
          <w:sz w:val="28"/>
          <w:szCs w:val="28"/>
        </w:rPr>
        <w:t xml:space="preserve">есурсное обеспечение реализации </w:t>
      </w:r>
      <w:r>
        <w:rPr>
          <w:color w:val="000000"/>
          <w:spacing w:val="2"/>
          <w:sz w:val="28"/>
          <w:szCs w:val="28"/>
        </w:rPr>
        <w:t xml:space="preserve">государственной программы за счет средств областного бюджета</w:t>
      </w:r>
      <w:r>
        <w:rPr>
          <w:color w:val="000000"/>
          <w:spacing w:val="2"/>
          <w:sz w:val="28"/>
          <w:szCs w:val="28"/>
        </w:rPr>
        <w:t xml:space="preserve">»:</w:t>
      </w: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sz w:val="20"/>
          <w:szCs w:val="20"/>
        </w:rPr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строку:</w:t>
      </w:r>
      <w:r/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>
          <w:trHeight w:val="70"/>
        </w:trPr>
        <w:tc>
          <w:tcPr>
            <w:tcW w:w="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«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3582" w:type="dxa"/>
            <w:vMerge w:val="restart"/>
            <w:textDirection w:val="lrTb"/>
            <w:noWrap w:val="false"/>
          </w:tcPr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Государственная программа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«Профилактика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и ликвидация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особо опасных болезней животных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sz w:val="18"/>
                <w:szCs w:val="18"/>
                <w:lang w:eastAsia="en-US"/>
              </w:rPr>
              <w:t xml:space="preserve">на территории </w:t>
            </w:r>
            <w:r>
              <w:rPr>
                <w:sz w:val="18"/>
                <w:szCs w:val="18"/>
                <w:lang w:eastAsia="en-US"/>
              </w:rPr>
              <w:t xml:space="preserve">Еврейской автономной области»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Всего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293534,1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58781,1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50511,6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54072,6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ветеринарии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0400000000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263534,1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53781,1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45511,6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49072,6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сельского хозяйства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005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0400500000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30000,0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5000,0»;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заменить строкой: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>
          <w:trHeight w:val="70"/>
        </w:trPr>
        <w:tc>
          <w:tcPr>
            <w:tcW w:w="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«</w:t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restart"/>
            <w:textDirection w:val="lrTb"/>
            <w:noWrap w:val="false"/>
          </w:tcPr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Государственная программа </w:t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«Профилактика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и ликвидация </w:t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особо опасных болезней животных</w:t>
            </w:r>
            <w:r/>
          </w:p>
          <w:p>
            <w:pPr>
              <w:jc w:val="left"/>
            </w:pPr>
            <w:r>
              <w:rPr>
                <w:sz w:val="18"/>
                <w:szCs w:val="18"/>
                <w:lang w:eastAsia="en-US"/>
              </w:rPr>
              <w:t xml:space="preserve">на территории </w:t>
            </w:r>
            <w:r>
              <w:rPr>
                <w:sz w:val="18"/>
                <w:szCs w:val="18"/>
                <w:lang w:eastAsia="en-US"/>
              </w:rPr>
              <w:t xml:space="preserve">Еврейской автономной области»</w:t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Всего</w:t>
            </w:r>
            <w:r>
              <w:rPr>
                <w:color w:val="00000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293534,1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58781,1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50511,6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54072,6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ветеринарии </w:t>
            </w:r>
            <w:r>
              <w:rPr>
                <w:color w:val="00000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006</w:t>
            </w:r>
            <w:r>
              <w:rPr>
                <w:color w:val="00000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0400000000</w:t>
            </w:r>
            <w:r>
              <w:rPr>
                <w:color w:val="00000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263534,1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53781,1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45511,6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49072,6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сельского хозяйства, 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департамент промышленности и сельского хозяйства 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005</w:t>
            </w:r>
            <w:r>
              <w:rPr>
                <w:color w:val="00000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0400500000</w:t>
            </w:r>
            <w:r>
              <w:rPr>
                <w:color w:val="00000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30000,0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5000,0»;</w:t>
            </w:r>
            <w:r>
              <w:rPr>
                <w:color w:val="000000"/>
              </w:rPr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пункт 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2164"/>
        <w:gridCol w:w="3685"/>
        <w:gridCol w:w="425"/>
        <w:gridCol w:w="567"/>
        <w:gridCol w:w="1181"/>
        <w:gridCol w:w="983"/>
        <w:gridCol w:w="881"/>
        <w:gridCol w:w="881"/>
        <w:gridCol w:w="881"/>
        <w:gridCol w:w="881"/>
        <w:gridCol w:w="881"/>
        <w:gridCol w:w="881"/>
      </w:tblGrid>
      <w:tr>
        <w:trPr/>
        <w:tc>
          <w:tcPr>
            <w:tcW w:w="387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«4</w:t>
            </w:r>
            <w:r>
              <w:rPr>
                <w:highlight w:val="white"/>
              </w:rPr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Основное мероприятие 4. Организация и проведение мероприятий, связанных с содержанием и оборотом животных, в соответствии с федеральным и областным законодательством</w:t>
            </w:r>
            <w:r>
              <w:rPr>
                <w:highlight w:val="white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Департамент ветеринарии, ОГБУ «Биробиджанская райветстанция»,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ОГБУ «Биробиджанская горветстанция», ОГВДБУ «Облветлаборатория», ОГБУ «Ленинская райветстанция», ОГБУ «Смидовичская райветстанция», ОГБУ «Октябрьская райветстанция», ОГБУ «Облученская райветстанция», департамент сельского хозяйства, 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департамент промышленности и сельского хозяйства</w:t>
            </w:r>
            <w:r>
              <w:rPr>
                <w:color w:val="000000"/>
                <w:sz w:val="18"/>
                <w:szCs w:val="18"/>
              </w:rPr>
              <w:t xml:space="preserve">, муниципальное образовани</w:t>
            </w:r>
            <w:r>
              <w:rPr>
                <w:color w:val="000000"/>
                <w:sz w:val="18"/>
                <w:szCs w:val="18"/>
              </w:rPr>
              <w:t xml:space="preserve">е «Биробиджанский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«Ленинский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«Октябрьский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«Смидовичский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«Облученский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«Город Биробиджан» Еврейской автономной области (по согласованию)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005,</w:t>
            </w:r>
            <w:r>
              <w:rPr>
                <w:sz w:val="18"/>
                <w:szCs w:val="18"/>
              </w:rPr>
            </w:r>
          </w:p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00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0400700000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32100,0</w:t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7100,0</w:t>
            </w:r>
            <w:r/>
          </w:p>
        </w:tc>
      </w:tr>
      <w:tr>
        <w:trPr>
          <w:trHeight w:val="3099"/>
        </w:trPr>
        <w:tc>
          <w:tcPr>
            <w:tcW w:w="387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4.1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субсидий областным государственным бюджетным учреждениям, функции 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полномочия </w:t>
            </w:r>
            <w:r>
              <w:rPr>
                <w:sz w:val="18"/>
                <w:szCs w:val="18"/>
              </w:rPr>
              <w:t xml:space="preserve">учредителя</w:t>
            </w:r>
            <w:r>
              <w:rPr>
                <w:sz w:val="18"/>
                <w:szCs w:val="18"/>
              </w:rPr>
              <w:t xml:space="preserve"> которых </w:t>
            </w:r>
            <w:r>
              <w:rPr>
                <w:sz w:val="18"/>
                <w:szCs w:val="18"/>
              </w:rPr>
              <w:t xml:space="preserve">осуществляет департамент ветеринарии,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выполнение государственного задания (исследования, вакцинации)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18"/>
                <w:szCs w:val="18"/>
              </w:rPr>
              <w:t xml:space="preserve">Департамент сельского хозяйства, 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департамент промышленности и сельского хозяйства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органы местного самоуправления муниципальных образований Еврейской автономной области (по согласованию)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0400702200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30000,0</w:t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/>
          </w:p>
          <w:p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none"/>
              </w:rPr>
              <w:t xml:space="preserve">5000,0</w:t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</w:tr>
    </w:tbl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2164"/>
        <w:gridCol w:w="3685"/>
        <w:gridCol w:w="425"/>
        <w:gridCol w:w="567"/>
        <w:gridCol w:w="1181"/>
        <w:gridCol w:w="983"/>
        <w:gridCol w:w="881"/>
        <w:gridCol w:w="881"/>
        <w:gridCol w:w="881"/>
        <w:gridCol w:w="881"/>
        <w:gridCol w:w="881"/>
        <w:gridCol w:w="881"/>
      </w:tblGrid>
      <w:tr>
        <w:trPr/>
        <w:tc>
          <w:tcPr>
            <w:tcW w:w="38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4.2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Организация мероприятий по регистрации, учету и маркировке животных в соответствии с федеральным законодательством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ветеринарии, 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ОГБУ «Биробиджанская райветстанция»,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ОГБУ «</w:t>
            </w:r>
            <w:r>
              <w:rPr>
                <w:sz w:val="18"/>
                <w:szCs w:val="18"/>
              </w:rPr>
              <w:t xml:space="preserve">Биробиджанская горветстанция», ОГВДБУ «Облветлаборатория», 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ОГБУ «Ленинская райветстанция», 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ОГБУ «Смидовичская райветстанция», ОГБУ «Октябрьская райветстанция», 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ОГБУ «Облученская райветстанция»</w:t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18"/>
                <w:szCs w:val="18"/>
              </w:rPr>
              <w:t xml:space="preserve">006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18"/>
                <w:szCs w:val="18"/>
              </w:rPr>
              <w:t xml:space="preserve">0405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0400720280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2100,0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none"/>
              </w:rPr>
              <w:t xml:space="preserve">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2100,0</w:t>
            </w: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».</w:t>
            </w:r>
            <w:r/>
          </w:p>
        </w:tc>
      </w:tr>
    </w:tbl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sectPr>
          <w:headerReference w:type="default" r:id="rId13"/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950"/>
        <w:jc w:val="both"/>
      </w:pPr>
      <w:r>
        <w:rPr>
          <w:sz w:val="28"/>
          <w:szCs w:val="28"/>
        </w:rPr>
        <w:t xml:space="preserve">Губернатор области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Р.Э. Гольдштейн</w:t>
      </w:r>
      <w:r>
        <w:rPr>
          <w:sz w:val="28"/>
          <w:szCs w:val="28"/>
        </w:rPr>
      </w:r>
      <w:bookmarkStart w:id="0" w:name="undefined"/>
      <w:r/>
      <w:bookmarkEnd w:id="0"/>
      <w:r>
        <w:rPr>
          <w:sz w:val="28"/>
          <w:szCs w:val="28"/>
        </w:rPr>
      </w:r>
      <w:r/>
    </w:p>
    <w:sectPr>
      <w:footnotePr/>
      <w:endnotePr/>
      <w:type w:val="nextPage"/>
      <w:pgSz w:w="11905" w:h="16838" w:orient="portrait"/>
      <w:pgMar w:top="1134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right"/>
      <w:rPr>
        <w:rFonts w:asciiTheme="minorHAnsi" w:hAnsiTheme="minorHAnsi" w:cstheme="minorHAnsi"/>
        <w:sz w:val="4"/>
        <w:szCs w:val="16"/>
      </w:rPr>
    </w:pPr>
    <w:r>
      <w:rPr>
        <w:rFonts w:asciiTheme="minorHAnsi" w:hAnsiTheme="minorHAnsi" w:cstheme="minorHAnsi"/>
        <w:sz w:val="4"/>
        <w:szCs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right"/>
      <w:rPr>
        <w:rFonts w:asciiTheme="minorHAnsi" w:hAnsiTheme="minorHAnsi" w:cstheme="minorHAnsi"/>
        <w:sz w:val="2"/>
        <w:szCs w:val="16"/>
        <w:lang w:val="en-US"/>
      </w:rPr>
    </w:pPr>
    <w:r>
      <w:rPr>
        <w:rFonts w:asciiTheme="minorHAnsi" w:hAnsiTheme="minorHAnsi" w:cstheme="minorHAnsi"/>
        <w:sz w:val="2"/>
        <w:szCs w:val="16"/>
        <w:lang w:val="en-US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91590183"/>
      <w:docPartObj>
        <w:docPartGallery w:val="Page Numbers (Top of Page)"/>
        <w:docPartUnique w:val="true"/>
      </w:docPartObj>
      <w:rPr/>
    </w:sdtPr>
    <w:sdtContent>
      <w:p>
        <w:pPr>
          <w:pStyle w:val="9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6"/>
      <w:jc w:val="both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both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60098972"/>
      <w:docPartObj>
        <w:docPartGallery w:val="Page Numbers (Top of Page)"/>
        <w:docPartUnique w:val="true"/>
      </w:docPartObj>
      <w:rPr/>
    </w:sdtPr>
    <w:sdtContent>
      <w:p>
        <w:pPr>
          <w:pStyle w:val="9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  <w:p>
    <w:pPr>
      <w:pStyle w:val="956"/>
      <w:jc w:val="both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27482892"/>
      <w:docPartObj>
        <w:docPartGallery w:val="Page Numbers (Top of Page)"/>
        <w:docPartUnique w:val="true"/>
      </w:docPartObj>
      <w:rPr/>
    </w:sdtPr>
    <w:sdtContent>
      <w:p>
        <w:pPr>
          <w:pStyle w:val="9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2">
    <w:name w:val="Heading 1 Char"/>
    <w:basedOn w:val="946"/>
    <w:link w:val="944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3"/>
    <w:next w:val="943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basedOn w:val="946"/>
    <w:link w:val="773"/>
    <w:uiPriority w:val="9"/>
    <w:rPr>
      <w:rFonts w:ascii="Arial" w:hAnsi="Arial" w:eastAsia="Arial" w:cs="Arial"/>
      <w:sz w:val="34"/>
    </w:rPr>
  </w:style>
  <w:style w:type="character" w:styleId="775">
    <w:name w:val="Heading 3 Char"/>
    <w:basedOn w:val="946"/>
    <w:link w:val="945"/>
    <w:uiPriority w:val="9"/>
    <w:rPr>
      <w:rFonts w:ascii="Arial" w:hAnsi="Arial" w:eastAsia="Arial" w:cs="Arial"/>
      <w:sz w:val="30"/>
      <w:szCs w:val="30"/>
    </w:rPr>
  </w:style>
  <w:style w:type="paragraph" w:styleId="776">
    <w:name w:val="Heading 4"/>
    <w:basedOn w:val="943"/>
    <w:next w:val="943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7">
    <w:name w:val="Heading 4 Char"/>
    <w:basedOn w:val="946"/>
    <w:link w:val="776"/>
    <w:uiPriority w:val="9"/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943"/>
    <w:next w:val="943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9">
    <w:name w:val="Heading 5 Char"/>
    <w:basedOn w:val="946"/>
    <w:link w:val="778"/>
    <w:uiPriority w:val="9"/>
    <w:rPr>
      <w:rFonts w:ascii="Arial" w:hAnsi="Arial" w:eastAsia="Arial" w:cs="Arial"/>
      <w:b/>
      <w:bCs/>
      <w:sz w:val="24"/>
      <w:szCs w:val="24"/>
    </w:rPr>
  </w:style>
  <w:style w:type="paragraph" w:styleId="780">
    <w:name w:val="Heading 6"/>
    <w:basedOn w:val="943"/>
    <w:next w:val="943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1">
    <w:name w:val="Heading 6 Char"/>
    <w:basedOn w:val="946"/>
    <w:link w:val="780"/>
    <w:uiPriority w:val="9"/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basedOn w:val="943"/>
    <w:next w:val="943"/>
    <w:link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3">
    <w:name w:val="Heading 7 Char"/>
    <w:basedOn w:val="946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943"/>
    <w:next w:val="943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5">
    <w:name w:val="Heading 8 Char"/>
    <w:basedOn w:val="946"/>
    <w:link w:val="784"/>
    <w:uiPriority w:val="9"/>
    <w:rPr>
      <w:rFonts w:ascii="Arial" w:hAnsi="Arial" w:eastAsia="Arial" w:cs="Arial"/>
      <w:i/>
      <w:iCs/>
      <w:sz w:val="22"/>
      <w:szCs w:val="22"/>
    </w:rPr>
  </w:style>
  <w:style w:type="paragraph" w:styleId="786">
    <w:name w:val="Heading 9"/>
    <w:basedOn w:val="943"/>
    <w:next w:val="943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>
    <w:name w:val="Heading 9 Char"/>
    <w:basedOn w:val="946"/>
    <w:link w:val="786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No Spacing"/>
    <w:uiPriority w:val="1"/>
    <w:qFormat/>
    <w:pPr>
      <w:spacing w:before="0" w:after="0" w:line="240" w:lineRule="auto"/>
    </w:pPr>
  </w:style>
  <w:style w:type="paragraph" w:styleId="789">
    <w:name w:val="Title"/>
    <w:basedOn w:val="943"/>
    <w:next w:val="943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>
    <w:name w:val="Title Char"/>
    <w:basedOn w:val="946"/>
    <w:link w:val="789"/>
    <w:uiPriority w:val="10"/>
    <w:rPr>
      <w:sz w:val="48"/>
      <w:szCs w:val="48"/>
    </w:rPr>
  </w:style>
  <w:style w:type="paragraph" w:styleId="791">
    <w:name w:val="Subtitle"/>
    <w:basedOn w:val="943"/>
    <w:next w:val="943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>
    <w:name w:val="Subtitle Char"/>
    <w:basedOn w:val="946"/>
    <w:link w:val="791"/>
    <w:uiPriority w:val="11"/>
    <w:rPr>
      <w:sz w:val="24"/>
      <w:szCs w:val="24"/>
    </w:rPr>
  </w:style>
  <w:style w:type="paragraph" w:styleId="793">
    <w:name w:val="Quote"/>
    <w:basedOn w:val="943"/>
    <w:next w:val="943"/>
    <w:link w:val="794"/>
    <w:uiPriority w:val="29"/>
    <w:qFormat/>
    <w:pPr>
      <w:ind w:left="720" w:right="720"/>
    </w:pPr>
    <w:rPr>
      <w:i/>
    </w:rPr>
  </w:style>
  <w:style w:type="character" w:styleId="794">
    <w:name w:val="Quote Char"/>
    <w:link w:val="793"/>
    <w:uiPriority w:val="29"/>
    <w:rPr>
      <w:i/>
    </w:rPr>
  </w:style>
  <w:style w:type="paragraph" w:styleId="795">
    <w:name w:val="Intense Quote"/>
    <w:basedOn w:val="943"/>
    <w:next w:val="943"/>
    <w:link w:val="7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>
    <w:name w:val="Intense Quote Char"/>
    <w:link w:val="795"/>
    <w:uiPriority w:val="30"/>
    <w:rPr>
      <w:i/>
    </w:rPr>
  </w:style>
  <w:style w:type="character" w:styleId="797">
    <w:name w:val="Header Char"/>
    <w:basedOn w:val="946"/>
    <w:link w:val="956"/>
    <w:uiPriority w:val="99"/>
  </w:style>
  <w:style w:type="character" w:styleId="798">
    <w:name w:val="Footer Char"/>
    <w:basedOn w:val="946"/>
    <w:link w:val="958"/>
    <w:uiPriority w:val="99"/>
  </w:style>
  <w:style w:type="paragraph" w:styleId="799">
    <w:name w:val="Caption"/>
    <w:basedOn w:val="943"/>
    <w:next w:val="9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958"/>
    <w:uiPriority w:val="99"/>
  </w:style>
  <w:style w:type="table" w:styleId="801">
    <w:name w:val="Table Grid Light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2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>
    <w:name w:val="Plain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Plain Table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>
    <w:name w:val="Grid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Grid Table 4 - Accent 1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0">
    <w:name w:val="Grid Table 4 - Accent 2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Grid Table 4 - Accent 3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2">
    <w:name w:val="Grid Table 4 - Accent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Grid Table 4 - Accent 5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Grid Table 4 - Accent 6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Grid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2">
    <w:name w:val="Grid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3">
    <w:name w:val="Grid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4">
    <w:name w:val="Grid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5">
    <w:name w:val="Grid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6">
    <w:name w:val="Grid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7">
    <w:name w:val="Grid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4">
    <w:name w:val="List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5">
    <w:name w:val="List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6">
    <w:name w:val="List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7">
    <w:name w:val="List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8">
    <w:name w:val="List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9">
    <w:name w:val="List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0">
    <w:name w:val="List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2">
    <w:name w:val="List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3">
    <w:name w:val="List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List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5">
    <w:name w:val="List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List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7">
    <w:name w:val="List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8">
    <w:name w:val="List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9">
    <w:name w:val="List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0">
    <w:name w:val="List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1">
    <w:name w:val="List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2">
    <w:name w:val="List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3">
    <w:name w:val="List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4">
    <w:name w:val="List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5">
    <w:name w:val="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7">
    <w:name w:val="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8">
    <w:name w:val="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9">
    <w:name w:val="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0">
    <w:name w:val="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1">
    <w:name w:val="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2">
    <w:name w:val="Bordered &amp; 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Bordered &amp; 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4">
    <w:name w:val="Bordered &amp; 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5">
    <w:name w:val="Bordered &amp; 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6">
    <w:name w:val="Bordered &amp; 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7">
    <w:name w:val="Bordered &amp; 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8">
    <w:name w:val="Bordered &amp; 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9">
    <w:name w:val="Bordered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0">
    <w:name w:val="Bordered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1">
    <w:name w:val="Bordered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2">
    <w:name w:val="Bordered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3">
    <w:name w:val="Bordered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4">
    <w:name w:val="Bordered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5">
    <w:name w:val="Bordered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6">
    <w:name w:val="footnote text"/>
    <w:basedOn w:val="943"/>
    <w:link w:val="927"/>
    <w:uiPriority w:val="99"/>
    <w:semiHidden/>
    <w:unhideWhenUsed/>
    <w:pPr>
      <w:spacing w:after="40" w:line="240" w:lineRule="auto"/>
    </w:pPr>
    <w:rPr>
      <w:sz w:val="18"/>
    </w:rPr>
  </w:style>
  <w:style w:type="character" w:styleId="927">
    <w:name w:val="Footnote Text Char"/>
    <w:link w:val="926"/>
    <w:uiPriority w:val="99"/>
    <w:rPr>
      <w:sz w:val="18"/>
    </w:rPr>
  </w:style>
  <w:style w:type="character" w:styleId="928">
    <w:name w:val="footnote reference"/>
    <w:basedOn w:val="946"/>
    <w:uiPriority w:val="99"/>
    <w:unhideWhenUsed/>
    <w:rPr>
      <w:vertAlign w:val="superscript"/>
    </w:rPr>
  </w:style>
  <w:style w:type="paragraph" w:styleId="929">
    <w:name w:val="endnote text"/>
    <w:basedOn w:val="943"/>
    <w:link w:val="930"/>
    <w:uiPriority w:val="99"/>
    <w:semiHidden/>
    <w:unhideWhenUsed/>
    <w:pPr>
      <w:spacing w:after="0" w:line="240" w:lineRule="auto"/>
    </w:pPr>
    <w:rPr>
      <w:sz w:val="20"/>
    </w:rPr>
  </w:style>
  <w:style w:type="character" w:styleId="930">
    <w:name w:val="Endnote Text Char"/>
    <w:link w:val="929"/>
    <w:uiPriority w:val="99"/>
    <w:rPr>
      <w:sz w:val="20"/>
    </w:rPr>
  </w:style>
  <w:style w:type="character" w:styleId="931">
    <w:name w:val="endnote reference"/>
    <w:basedOn w:val="946"/>
    <w:uiPriority w:val="99"/>
    <w:semiHidden/>
    <w:unhideWhenUsed/>
    <w:rPr>
      <w:vertAlign w:val="superscript"/>
    </w:rPr>
  </w:style>
  <w:style w:type="paragraph" w:styleId="932">
    <w:name w:val="toc 1"/>
    <w:basedOn w:val="943"/>
    <w:next w:val="943"/>
    <w:uiPriority w:val="39"/>
    <w:unhideWhenUsed/>
    <w:pPr>
      <w:ind w:left="0" w:right="0" w:firstLine="0"/>
      <w:spacing w:after="57"/>
    </w:pPr>
  </w:style>
  <w:style w:type="paragraph" w:styleId="933">
    <w:name w:val="toc 2"/>
    <w:basedOn w:val="943"/>
    <w:next w:val="943"/>
    <w:uiPriority w:val="39"/>
    <w:unhideWhenUsed/>
    <w:pPr>
      <w:ind w:left="283" w:right="0" w:firstLine="0"/>
      <w:spacing w:after="57"/>
    </w:pPr>
  </w:style>
  <w:style w:type="paragraph" w:styleId="934">
    <w:name w:val="toc 3"/>
    <w:basedOn w:val="943"/>
    <w:next w:val="943"/>
    <w:uiPriority w:val="39"/>
    <w:unhideWhenUsed/>
    <w:pPr>
      <w:ind w:left="567" w:right="0" w:firstLine="0"/>
      <w:spacing w:after="57"/>
    </w:pPr>
  </w:style>
  <w:style w:type="paragraph" w:styleId="935">
    <w:name w:val="toc 4"/>
    <w:basedOn w:val="943"/>
    <w:next w:val="943"/>
    <w:uiPriority w:val="39"/>
    <w:unhideWhenUsed/>
    <w:pPr>
      <w:ind w:left="850" w:right="0" w:firstLine="0"/>
      <w:spacing w:after="57"/>
    </w:pPr>
  </w:style>
  <w:style w:type="paragraph" w:styleId="936">
    <w:name w:val="toc 5"/>
    <w:basedOn w:val="943"/>
    <w:next w:val="943"/>
    <w:uiPriority w:val="39"/>
    <w:unhideWhenUsed/>
    <w:pPr>
      <w:ind w:left="1134" w:right="0" w:firstLine="0"/>
      <w:spacing w:after="57"/>
    </w:pPr>
  </w:style>
  <w:style w:type="paragraph" w:styleId="937">
    <w:name w:val="toc 6"/>
    <w:basedOn w:val="943"/>
    <w:next w:val="943"/>
    <w:uiPriority w:val="39"/>
    <w:unhideWhenUsed/>
    <w:pPr>
      <w:ind w:left="1417" w:right="0" w:firstLine="0"/>
      <w:spacing w:after="57"/>
    </w:pPr>
  </w:style>
  <w:style w:type="paragraph" w:styleId="938">
    <w:name w:val="toc 7"/>
    <w:basedOn w:val="943"/>
    <w:next w:val="943"/>
    <w:uiPriority w:val="39"/>
    <w:unhideWhenUsed/>
    <w:pPr>
      <w:ind w:left="1701" w:right="0" w:firstLine="0"/>
      <w:spacing w:after="57"/>
    </w:pPr>
  </w:style>
  <w:style w:type="paragraph" w:styleId="939">
    <w:name w:val="toc 8"/>
    <w:basedOn w:val="943"/>
    <w:next w:val="943"/>
    <w:uiPriority w:val="39"/>
    <w:unhideWhenUsed/>
    <w:pPr>
      <w:ind w:left="1984" w:right="0" w:firstLine="0"/>
      <w:spacing w:after="57"/>
    </w:pPr>
  </w:style>
  <w:style w:type="paragraph" w:styleId="940">
    <w:name w:val="toc 9"/>
    <w:basedOn w:val="943"/>
    <w:next w:val="943"/>
    <w:uiPriority w:val="39"/>
    <w:unhideWhenUsed/>
    <w:pPr>
      <w:ind w:left="2268" w:right="0" w:firstLine="0"/>
      <w:spacing w:after="57"/>
    </w:pPr>
  </w:style>
  <w:style w:type="paragraph" w:styleId="941">
    <w:name w:val="TOC Heading"/>
    <w:uiPriority w:val="39"/>
    <w:unhideWhenUsed/>
  </w:style>
  <w:style w:type="paragraph" w:styleId="942">
    <w:name w:val="table of figures"/>
    <w:basedOn w:val="943"/>
    <w:next w:val="943"/>
    <w:uiPriority w:val="99"/>
    <w:unhideWhenUsed/>
    <w:pPr>
      <w:spacing w:after="0" w:afterAutospacing="0"/>
    </w:pPr>
  </w:style>
  <w:style w:type="paragraph" w:styleId="943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4">
    <w:name w:val="Heading 1"/>
    <w:basedOn w:val="943"/>
    <w:next w:val="943"/>
    <w:link w:val="949"/>
    <w:uiPriority w:val="9"/>
    <w:qFormat/>
    <w:pPr>
      <w:keepNext/>
      <w:outlineLvl w:val="0"/>
    </w:pPr>
    <w:rPr>
      <w:sz w:val="28"/>
      <w:szCs w:val="28"/>
    </w:rPr>
  </w:style>
  <w:style w:type="paragraph" w:styleId="945">
    <w:name w:val="Heading 3"/>
    <w:basedOn w:val="943"/>
    <w:next w:val="943"/>
    <w:link w:val="964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946" w:default="1">
    <w:name w:val="Default Paragraph Font"/>
    <w:uiPriority w:val="1"/>
    <w:semiHidden/>
    <w:unhideWhenUsed/>
  </w:style>
  <w:style w:type="table" w:styleId="9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character" w:styleId="949" w:customStyle="1">
    <w:name w:val="Заголовок 1 Знак"/>
    <w:basedOn w:val="946"/>
    <w:link w:val="944"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0" w:customStyle="1">
    <w:name w:val="ConsPlusNormal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Cs w:val="24"/>
      <w:lang w:eastAsia="ru-RU"/>
    </w:rPr>
  </w:style>
  <w:style w:type="character" w:styleId="951">
    <w:name w:val="Hyperlink"/>
    <w:basedOn w:val="946"/>
    <w:uiPriority w:val="99"/>
    <w:unhideWhenUsed/>
    <w:rPr>
      <w:rFonts w:cs="Times New Roman"/>
      <w:color w:val="0000ff"/>
      <w:u w:val="single"/>
    </w:rPr>
  </w:style>
  <w:style w:type="paragraph" w:styleId="952">
    <w:name w:val="Body Text"/>
    <w:basedOn w:val="943"/>
    <w:link w:val="953"/>
    <w:uiPriority w:val="99"/>
    <w:pPr>
      <w:jc w:val="both"/>
    </w:pPr>
    <w:rPr>
      <w:sz w:val="28"/>
      <w:szCs w:val="28"/>
    </w:rPr>
  </w:style>
  <w:style w:type="character" w:styleId="953" w:customStyle="1">
    <w:name w:val="Основной текст Знак"/>
    <w:basedOn w:val="946"/>
    <w:link w:val="95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4" w:customStyle="1">
    <w:name w:val="ConsPlusTitle"/>
    <w:pPr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955" w:customStyle="1">
    <w:name w:val="formattext"/>
    <w:basedOn w:val="943"/>
    <w:pPr>
      <w:spacing w:before="100" w:beforeAutospacing="1" w:after="100" w:afterAutospacing="1"/>
    </w:pPr>
  </w:style>
  <w:style w:type="paragraph" w:styleId="956">
    <w:name w:val="Header"/>
    <w:basedOn w:val="943"/>
    <w:link w:val="9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7" w:customStyle="1">
    <w:name w:val="Верхний колонтитул Знак"/>
    <w:basedOn w:val="946"/>
    <w:link w:val="9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8">
    <w:name w:val="Footer"/>
    <w:basedOn w:val="943"/>
    <w:link w:val="959"/>
    <w:uiPriority w:val="99"/>
    <w:pPr>
      <w:tabs>
        <w:tab w:val="center" w:pos="4677" w:leader="none"/>
        <w:tab w:val="right" w:pos="9355" w:leader="none"/>
      </w:tabs>
    </w:pPr>
  </w:style>
  <w:style w:type="character" w:styleId="959" w:customStyle="1">
    <w:name w:val="Нижний колонтитул Знак"/>
    <w:basedOn w:val="946"/>
    <w:link w:val="9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0">
    <w:name w:val="List Paragraph"/>
    <w:basedOn w:val="943"/>
    <w:uiPriority w:val="34"/>
    <w:qFormat/>
    <w:pPr>
      <w:contextualSpacing/>
      <w:ind w:left="720"/>
    </w:pPr>
  </w:style>
  <w:style w:type="table" w:styleId="961">
    <w:name w:val="Table Grid"/>
    <w:basedOn w:val="9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2">
    <w:name w:val="Balloon Text"/>
    <w:basedOn w:val="943"/>
    <w:link w:val="96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63" w:customStyle="1">
    <w:name w:val="Текст выноски Знак"/>
    <w:basedOn w:val="946"/>
    <w:link w:val="96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64" w:customStyle="1">
    <w:name w:val="Заголовок 3 Знак"/>
    <w:basedOn w:val="946"/>
    <w:link w:val="945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table" w:styleId="965" w:customStyle="1">
    <w:name w:val="Сетка таблицы1"/>
    <w:basedOn w:val="947"/>
    <w:next w:val="96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customXml" Target="../customXml/item1.xml" /><Relationship Id="rId17" Type="http://schemas.openxmlformats.org/officeDocument/2006/relationships/hyperlink" Target="http://docs.cntd.ru/document/430647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63E5-2850-4F6D-95E1-0BCEC16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Евгения Сергеевна</dc:creator>
  <cp:revision>52</cp:revision>
  <dcterms:created xsi:type="dcterms:W3CDTF">2022-01-24T01:18:00Z</dcterms:created>
  <dcterms:modified xsi:type="dcterms:W3CDTF">2023-05-24T06:31:10Z</dcterms:modified>
</cp:coreProperties>
</file>